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pacing w:line="560" w:lineRule="exact"/>
        <w:ind w:firstLine="652" w:firstLineChars="200"/>
        <w:jc w:val="center"/>
        <w:textAlignment w:val="auto"/>
        <w:rPr>
          <w:rFonts w:ascii="宋体" w:hAnsi="宋体" w:eastAsia="宋体" w:cs="宋体"/>
          <w:spacing w:val="0"/>
          <w:szCs w:val="32"/>
        </w:rPr>
      </w:pPr>
    </w:p>
    <w:p>
      <w:pPr>
        <w:keepNext w:val="0"/>
        <w:keepLines w:val="0"/>
        <w:pageBreakBefore w:val="0"/>
        <w:widowControl w:val="0"/>
        <w:kinsoku/>
        <w:wordWrap/>
        <w:overflowPunct/>
        <w:topLinePunct w:val="0"/>
        <w:autoSpaceDE/>
        <w:autoSpaceDN/>
        <w:bidi w:val="0"/>
        <w:adjustRightInd/>
        <w:spacing w:line="560" w:lineRule="exact"/>
        <w:ind w:firstLine="652" w:firstLineChars="200"/>
        <w:jc w:val="center"/>
        <w:textAlignment w:val="auto"/>
        <w:rPr>
          <w:rFonts w:ascii="宋体" w:hAnsi="宋体" w:eastAsia="宋体" w:cs="宋体"/>
          <w:spacing w:val="0"/>
          <w:szCs w:val="32"/>
        </w:rPr>
      </w:pPr>
    </w:p>
    <w:p>
      <w:pPr>
        <w:keepNext w:val="0"/>
        <w:keepLines w:val="0"/>
        <w:pageBreakBefore w:val="0"/>
        <w:widowControl w:val="0"/>
        <w:kinsoku/>
        <w:wordWrap/>
        <w:overflowPunct/>
        <w:topLinePunct w:val="0"/>
        <w:autoSpaceDE/>
        <w:autoSpaceDN/>
        <w:bidi w:val="0"/>
        <w:adjustRightInd/>
        <w:spacing w:line="560" w:lineRule="exact"/>
        <w:ind w:left="628" w:leftChars="200" w:right="628" w:rightChars="200" w:firstLine="892" w:firstLineChars="200"/>
        <w:jc w:val="center"/>
        <w:textAlignment w:val="auto"/>
        <w:rPr>
          <w:rFonts w:ascii="楷体_GB2312" w:eastAsia="楷体_GB2312" w:cs="楷体_GB2312"/>
          <w:spacing w:val="0"/>
          <w:szCs w:val="32"/>
        </w:rPr>
      </w:pPr>
      <w:r>
        <w:rPr>
          <w:rFonts w:hint="eastAsia" w:asciiTheme="majorEastAsia" w:hAnsiTheme="majorEastAsia" w:eastAsiaTheme="majorEastAsia"/>
          <w:spacing w:val="0"/>
          <w:sz w:val="44"/>
          <w:szCs w:val="44"/>
        </w:rPr>
        <w:t>浙江省气象条例</w:t>
      </w:r>
    </w:p>
    <w:p>
      <w:pPr>
        <w:keepNext w:val="0"/>
        <w:keepLines w:val="0"/>
        <w:pageBreakBefore w:val="0"/>
        <w:widowControl w:val="0"/>
        <w:kinsoku/>
        <w:wordWrap/>
        <w:overflowPunct/>
        <w:topLinePunct w:val="0"/>
        <w:autoSpaceDE/>
        <w:autoSpaceDN/>
        <w:bidi w:val="0"/>
        <w:adjustRightInd/>
        <w:snapToGrid w:val="0"/>
        <w:spacing w:line="560" w:lineRule="exact"/>
        <w:ind w:left="1055" w:leftChars="336" w:right="929" w:rightChars="296" w:firstLine="652" w:firstLineChars="200"/>
        <w:jc w:val="center"/>
        <w:textAlignment w:val="auto"/>
        <w:rPr>
          <w:rFonts w:ascii="楷体_GB2312" w:hAnsi="楷体_GB2312" w:eastAsia="楷体_GB2312" w:cs="楷体_GB2312"/>
          <w:spacing w:val="0"/>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653" w:leftChars="208" w:right="929" w:rightChars="296" w:firstLine="652" w:firstLineChars="200"/>
        <w:textAlignment w:val="auto"/>
        <w:rPr>
          <w:rFonts w:ascii="楷体_GB2312" w:hAnsi="楷体_GB2312" w:eastAsia="楷体_GB2312" w:cs="楷体_GB2312"/>
          <w:spacing w:val="0"/>
          <w:szCs w:val="32"/>
        </w:rPr>
      </w:pPr>
      <w:r>
        <w:rPr>
          <w:rFonts w:hint="eastAsia" w:ascii="楷体_GB2312" w:hAnsi="楷体_GB2312" w:eastAsia="楷体_GB2312" w:cs="楷体_GB2312"/>
          <w:spacing w:val="0"/>
          <w:szCs w:val="32"/>
        </w:rPr>
        <w:t>（2007年11月23日浙江省第十届人民代表大会常务委员会第三十五次会议通过　根据2017年9月30日浙江省第十二届人民代表大会常务委员会第四十四次会议《关于修改〈浙江省水土保持条例〉等七件地方性法规的决定》第一次修正　根据2020年11月27日浙江省第十三届人民代表大会常务委员会第二十五次会议《关于修改〈浙江省港口管理条例〉等七件地方性法规的决定》第二次修正）</w:t>
      </w:r>
    </w:p>
    <w:p>
      <w:pPr>
        <w:keepNext w:val="0"/>
        <w:keepLines w:val="0"/>
        <w:pageBreakBefore w:val="0"/>
        <w:widowControl w:val="0"/>
        <w:kinsoku/>
        <w:wordWrap/>
        <w:overflowPunct/>
        <w:topLinePunct w:val="0"/>
        <w:autoSpaceDE/>
        <w:autoSpaceDN/>
        <w:bidi w:val="0"/>
        <w:adjustRightInd/>
        <w:snapToGrid w:val="0"/>
        <w:spacing w:line="560" w:lineRule="exact"/>
        <w:ind w:left="1055" w:leftChars="336" w:right="929" w:rightChars="296" w:firstLine="636" w:firstLineChars="200"/>
        <w:jc w:val="center"/>
        <w:textAlignment w:val="auto"/>
        <w:rPr>
          <w:rFonts w:ascii="黑体" w:hAnsi="黑体" w:eastAsia="黑体"/>
          <w:spacing w:val="-4"/>
          <w:szCs w:val="32"/>
        </w:rPr>
      </w:pPr>
    </w:p>
    <w:p>
      <w:pPr>
        <w:keepNext w:val="0"/>
        <w:keepLines w:val="0"/>
        <w:pageBreakBefore w:val="0"/>
        <w:widowControl w:val="0"/>
        <w:kinsoku/>
        <w:wordWrap/>
        <w:overflowPunct/>
        <w:topLinePunct w:val="0"/>
        <w:autoSpaceDE/>
        <w:autoSpaceDN/>
        <w:bidi w:val="0"/>
        <w:adjustRightInd/>
        <w:ind w:firstLine="652" w:firstLineChars="200"/>
        <w:jc w:val="center"/>
        <w:textAlignment w:val="auto"/>
        <w:rPr>
          <w:rFonts w:ascii="楷体_GB2312" w:hAnsi="Calibri" w:eastAsia="楷体_GB2312"/>
          <w:spacing w:val="0"/>
          <w:szCs w:val="32"/>
        </w:rPr>
      </w:pPr>
      <w:r>
        <w:rPr>
          <w:rFonts w:hint="eastAsia" w:ascii="楷体_GB2312" w:hAnsi="Calibri" w:eastAsia="楷体_GB2312"/>
          <w:spacing w:val="0"/>
          <w:szCs w:val="32"/>
        </w:rPr>
        <w:t>目  录</w:t>
      </w:r>
    </w:p>
    <w:p>
      <w:pPr>
        <w:keepNext w:val="0"/>
        <w:keepLines w:val="0"/>
        <w:pageBreakBefore w:val="0"/>
        <w:widowControl w:val="0"/>
        <w:kinsoku/>
        <w:wordWrap/>
        <w:overflowPunct/>
        <w:topLinePunct w:val="0"/>
        <w:autoSpaceDE/>
        <w:autoSpaceDN/>
        <w:bidi w:val="0"/>
        <w:adjustRightInd/>
        <w:ind w:firstLine="652" w:firstLineChars="200"/>
        <w:textAlignment w:val="auto"/>
        <w:rPr>
          <w:rFonts w:ascii="楷体_GB2312" w:hAnsi="Calibri" w:eastAsia="楷体_GB2312"/>
          <w:spacing w:val="0"/>
          <w:szCs w:val="32"/>
        </w:rPr>
      </w:pPr>
      <w:r>
        <w:rPr>
          <w:rFonts w:hint="eastAsia" w:ascii="楷体_GB2312" w:hAnsi="Calibri" w:eastAsia="楷体_GB2312"/>
          <w:spacing w:val="0"/>
          <w:szCs w:val="32"/>
        </w:rPr>
        <w:t xml:space="preserve">   </w:t>
      </w:r>
    </w:p>
    <w:p>
      <w:pPr>
        <w:keepNext w:val="0"/>
        <w:keepLines w:val="0"/>
        <w:pageBreakBefore w:val="0"/>
        <w:widowControl w:val="0"/>
        <w:kinsoku/>
        <w:wordWrap/>
        <w:overflowPunct/>
        <w:topLinePunct w:val="0"/>
        <w:autoSpaceDE/>
        <w:autoSpaceDN/>
        <w:bidi w:val="0"/>
        <w:adjustRightInd/>
        <w:textAlignment w:val="auto"/>
        <w:rPr>
          <w:rFonts w:hint="eastAsia" w:ascii="楷体_GB2312" w:hAnsi="Calibri" w:eastAsia="楷体_GB2312"/>
          <w:spacing w:val="0"/>
          <w:szCs w:val="32"/>
        </w:rPr>
      </w:pPr>
      <w:r>
        <w:rPr>
          <w:rFonts w:hint="eastAsia" w:ascii="楷体_GB2312" w:hAnsi="Calibri" w:eastAsia="楷体_GB2312"/>
          <w:spacing w:val="0"/>
          <w:szCs w:val="32"/>
        </w:rPr>
        <w:t>第一章　总则</w:t>
      </w:r>
    </w:p>
    <w:p>
      <w:pPr>
        <w:keepNext w:val="0"/>
        <w:keepLines w:val="0"/>
        <w:pageBreakBefore w:val="0"/>
        <w:widowControl w:val="0"/>
        <w:kinsoku/>
        <w:wordWrap/>
        <w:overflowPunct/>
        <w:topLinePunct w:val="0"/>
        <w:autoSpaceDE/>
        <w:autoSpaceDN/>
        <w:bidi w:val="0"/>
        <w:adjustRightInd/>
        <w:textAlignment w:val="auto"/>
        <w:rPr>
          <w:rFonts w:hint="eastAsia" w:ascii="楷体_GB2312" w:hAnsi="Calibri" w:eastAsia="楷体_GB2312"/>
          <w:spacing w:val="0"/>
          <w:szCs w:val="32"/>
        </w:rPr>
      </w:pPr>
      <w:r>
        <w:rPr>
          <w:rFonts w:hint="eastAsia" w:ascii="楷体_GB2312" w:hAnsi="Calibri" w:eastAsia="楷体_GB2312"/>
          <w:spacing w:val="0"/>
          <w:szCs w:val="32"/>
        </w:rPr>
        <w:t>第二章　气象信息发布与传播</w:t>
      </w:r>
    </w:p>
    <w:p>
      <w:pPr>
        <w:keepNext w:val="0"/>
        <w:keepLines w:val="0"/>
        <w:pageBreakBefore w:val="0"/>
        <w:widowControl w:val="0"/>
        <w:kinsoku/>
        <w:wordWrap/>
        <w:overflowPunct/>
        <w:topLinePunct w:val="0"/>
        <w:autoSpaceDE/>
        <w:autoSpaceDN/>
        <w:bidi w:val="0"/>
        <w:adjustRightInd/>
        <w:textAlignment w:val="auto"/>
        <w:rPr>
          <w:rFonts w:hint="eastAsia" w:ascii="楷体_GB2312" w:hAnsi="Calibri" w:eastAsia="楷体_GB2312"/>
          <w:spacing w:val="0"/>
          <w:szCs w:val="32"/>
        </w:rPr>
      </w:pPr>
      <w:r>
        <w:rPr>
          <w:rFonts w:hint="eastAsia" w:ascii="楷体_GB2312" w:hAnsi="Calibri" w:eastAsia="楷体_GB2312"/>
          <w:spacing w:val="0"/>
          <w:szCs w:val="32"/>
        </w:rPr>
        <w:t>第三章　气象灾害防御</w:t>
      </w:r>
    </w:p>
    <w:p>
      <w:pPr>
        <w:keepNext w:val="0"/>
        <w:keepLines w:val="0"/>
        <w:pageBreakBefore w:val="0"/>
        <w:widowControl w:val="0"/>
        <w:kinsoku/>
        <w:wordWrap/>
        <w:overflowPunct/>
        <w:topLinePunct w:val="0"/>
        <w:autoSpaceDE/>
        <w:autoSpaceDN/>
        <w:bidi w:val="0"/>
        <w:adjustRightInd/>
        <w:textAlignment w:val="auto"/>
        <w:rPr>
          <w:rFonts w:hint="eastAsia" w:ascii="楷体_GB2312" w:hAnsi="Calibri" w:eastAsia="楷体_GB2312"/>
          <w:spacing w:val="0"/>
          <w:szCs w:val="32"/>
        </w:rPr>
      </w:pPr>
      <w:r>
        <w:rPr>
          <w:rFonts w:hint="eastAsia" w:ascii="楷体_GB2312" w:hAnsi="Calibri" w:eastAsia="楷体_GB2312"/>
          <w:spacing w:val="0"/>
          <w:szCs w:val="32"/>
        </w:rPr>
        <w:t>第四章　气象设施建设与保护</w:t>
      </w:r>
    </w:p>
    <w:p>
      <w:pPr>
        <w:keepNext w:val="0"/>
        <w:keepLines w:val="0"/>
        <w:pageBreakBefore w:val="0"/>
        <w:widowControl w:val="0"/>
        <w:kinsoku/>
        <w:wordWrap/>
        <w:overflowPunct/>
        <w:topLinePunct w:val="0"/>
        <w:autoSpaceDE/>
        <w:autoSpaceDN/>
        <w:bidi w:val="0"/>
        <w:adjustRightInd/>
        <w:textAlignment w:val="auto"/>
        <w:rPr>
          <w:rFonts w:hint="eastAsia" w:ascii="楷体_GB2312" w:hAnsi="Calibri" w:eastAsia="楷体_GB2312"/>
          <w:spacing w:val="0"/>
          <w:szCs w:val="32"/>
        </w:rPr>
      </w:pPr>
      <w:r>
        <w:rPr>
          <w:rFonts w:hint="eastAsia" w:ascii="楷体_GB2312" w:hAnsi="Calibri" w:eastAsia="楷体_GB2312"/>
          <w:spacing w:val="0"/>
          <w:szCs w:val="32"/>
        </w:rPr>
        <w:t>第五章　气候资源开发利用</w:t>
      </w:r>
    </w:p>
    <w:p>
      <w:pPr>
        <w:keepNext w:val="0"/>
        <w:keepLines w:val="0"/>
        <w:pageBreakBefore w:val="0"/>
        <w:widowControl w:val="0"/>
        <w:kinsoku/>
        <w:wordWrap/>
        <w:overflowPunct/>
        <w:topLinePunct w:val="0"/>
        <w:autoSpaceDE/>
        <w:autoSpaceDN/>
        <w:bidi w:val="0"/>
        <w:adjustRightInd/>
        <w:textAlignment w:val="auto"/>
        <w:rPr>
          <w:rFonts w:hint="eastAsia" w:ascii="楷体_GB2312" w:hAnsi="Calibri" w:eastAsia="楷体_GB2312"/>
          <w:spacing w:val="0"/>
          <w:szCs w:val="32"/>
        </w:rPr>
      </w:pPr>
      <w:r>
        <w:rPr>
          <w:rFonts w:hint="eastAsia" w:ascii="楷体_GB2312" w:hAnsi="Calibri" w:eastAsia="楷体_GB2312"/>
          <w:spacing w:val="0"/>
          <w:szCs w:val="32"/>
        </w:rPr>
        <w:t>第六章　法律责任</w:t>
      </w:r>
    </w:p>
    <w:p>
      <w:pPr>
        <w:keepNext w:val="0"/>
        <w:keepLines w:val="0"/>
        <w:pageBreakBefore w:val="0"/>
        <w:widowControl w:val="0"/>
        <w:kinsoku/>
        <w:wordWrap/>
        <w:overflowPunct/>
        <w:topLinePunct w:val="0"/>
        <w:autoSpaceDE/>
        <w:autoSpaceDN/>
        <w:bidi w:val="0"/>
        <w:adjustRightInd/>
        <w:textAlignment w:val="auto"/>
        <w:rPr>
          <w:rFonts w:hint="eastAsia" w:ascii="楷体_GB2312" w:hAnsi="Calibri" w:eastAsia="楷体_GB2312"/>
          <w:spacing w:val="0"/>
          <w:szCs w:val="32"/>
        </w:rPr>
      </w:pPr>
      <w:r>
        <w:rPr>
          <w:rFonts w:hint="eastAsia" w:ascii="楷体_GB2312" w:hAnsi="Calibri" w:eastAsia="楷体_GB2312"/>
          <w:spacing w:val="0"/>
          <w:szCs w:val="32"/>
        </w:rPr>
        <w:t>第七章　附则</w:t>
      </w:r>
    </w:p>
    <w:p>
      <w:pPr>
        <w:keepNext w:val="0"/>
        <w:keepLines w:val="0"/>
        <w:pageBreakBefore w:val="0"/>
        <w:widowControl w:val="0"/>
        <w:kinsoku/>
        <w:wordWrap/>
        <w:overflowPunct/>
        <w:topLinePunct w:val="0"/>
        <w:autoSpaceDE/>
        <w:autoSpaceDN/>
        <w:bidi w:val="0"/>
        <w:adjustRightInd/>
        <w:ind w:firstLine="652" w:firstLineChars="200"/>
        <w:textAlignment w:val="auto"/>
        <w:rPr>
          <w:rFonts w:hint="eastAsia" w:ascii="楷体_GB2312" w:hAnsi="Calibri" w:eastAsia="楷体_GB2312"/>
          <w:spacing w:val="0"/>
          <w:szCs w:val="32"/>
        </w:rPr>
      </w:pPr>
    </w:p>
    <w:p>
      <w:pPr>
        <w:keepNext w:val="0"/>
        <w:keepLines w:val="0"/>
        <w:pageBreakBefore w:val="0"/>
        <w:widowControl w:val="0"/>
        <w:kinsoku/>
        <w:wordWrap/>
        <w:overflowPunct/>
        <w:topLinePunct w:val="0"/>
        <w:autoSpaceDE/>
        <w:autoSpaceDN/>
        <w:bidi w:val="0"/>
        <w:adjustRightInd/>
        <w:ind w:firstLine="628" w:firstLineChars="200"/>
        <w:jc w:val="center"/>
        <w:textAlignment w:val="auto"/>
        <w:rPr>
          <w:rFonts w:ascii="黑体" w:hAnsi="黑体" w:eastAsia="黑体"/>
        </w:rPr>
      </w:pPr>
      <w:r>
        <w:rPr>
          <w:rFonts w:hint="eastAsia" w:ascii="黑体" w:hAnsi="黑体" w:eastAsia="黑体"/>
        </w:rPr>
        <w:t>第一章　总则</w:t>
      </w:r>
    </w:p>
    <w:p>
      <w:pPr>
        <w:keepNext w:val="0"/>
        <w:keepLines w:val="0"/>
        <w:pageBreakBefore w:val="0"/>
        <w:widowControl w:val="0"/>
        <w:kinsoku/>
        <w:wordWrap/>
        <w:overflowPunct/>
        <w:topLinePunct w:val="0"/>
        <w:autoSpaceDE/>
        <w:autoSpaceDN/>
        <w:bidi w:val="0"/>
        <w:adjustRightInd/>
        <w:ind w:firstLine="628" w:firstLineChars="200"/>
        <w:textAlignment w:val="auto"/>
        <w:rPr>
          <w:rFonts w:hint="eastAsia" w:ascii="黑体" w:hAnsi="黑体" w:eastAsia="黑体"/>
        </w:rPr>
      </w:pPr>
      <w:r>
        <w:rPr>
          <w:rFonts w:hint="eastAsia"/>
        </w:rPr>
        <w:t>　</w:t>
      </w:r>
      <w:r>
        <w:rPr>
          <w:rFonts w:hint="eastAsia" w:ascii="黑体" w:hAnsi="黑体" w:eastAsia="黑体"/>
        </w:rPr>
        <w:t>　</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第一条</w:t>
      </w:r>
      <w:r>
        <w:rPr>
          <w:rFonts w:hint="eastAsia"/>
        </w:rPr>
        <w:t>　为了发展气象事业，规范气象活动，准确及时发布气象预报，防御气象灾害，保护和合理利用气候资源，为经济建设、国防建设、社会发展和人民生活生产提供气象服务，根据《中华人民共和国气象法》等法律、行政法规的规定，结合本省实际，制定本条例。</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第二条　</w:t>
      </w:r>
      <w:r>
        <w:rPr>
          <w:rFonts w:hint="eastAsia"/>
        </w:rPr>
        <w:t>在本省行政区域以及国家规定由本省管辖的海域（以下统称管辖区域）内从事气象探测、预报、服务和气象信息传播、气象灾害防御、气候资源开发利用、气象科学技术研究等活动，应当遵守本条例。</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第三条</w:t>
      </w:r>
      <w:r>
        <w:rPr>
          <w:rFonts w:hint="eastAsia"/>
        </w:rPr>
        <w:t>　气象事业是基础性社会公益事业。气象工作应当把公益性气象服务放在首位，加强气象灾害的监测、预警和气候变化的研究，提高全社会气象防灾减灾能力。</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第四条</w:t>
      </w:r>
      <w:r>
        <w:rPr>
          <w:rFonts w:hint="eastAsia"/>
        </w:rPr>
        <w:t>　县级以上人民政府应当加强对气象工作的领导，组织编制气象事业发展规划，并将其纳入国民经济和社会发展规划。</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加大气象事业资金投入。气象事业所需的基本支出以及设施建设、运行等专项经费，除中央财政拨付等以外的部分，列入县级以上人民政府本级财政预算。</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第五条</w:t>
      </w:r>
      <w:r>
        <w:rPr>
          <w:rFonts w:hint="eastAsia"/>
        </w:rPr>
        <w:t>　省气象主管机构负责全省的气象工作。设区的市、县（市、区）气象主管机构在上级气象主管机构和本级人民政府的领导下，负责本管辖区域内的气象工作。</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县级以上人民政府有关部门应当按照各自职责，协同气象主管机构做好气象工作。</w:t>
      </w:r>
    </w:p>
    <w:p>
      <w:pPr>
        <w:keepNext w:val="0"/>
        <w:keepLines w:val="0"/>
        <w:pageBreakBefore w:val="0"/>
        <w:widowControl w:val="0"/>
        <w:kinsoku/>
        <w:wordWrap/>
        <w:overflowPunct/>
        <w:topLinePunct w:val="0"/>
        <w:autoSpaceDE/>
        <w:autoSpaceDN/>
        <w:bidi w:val="0"/>
        <w:adjustRightInd/>
        <w:ind w:firstLine="314" w:firstLineChars="100"/>
        <w:textAlignment w:val="auto"/>
      </w:pPr>
      <w:r>
        <w:rPr>
          <w:rFonts w:hint="eastAsia"/>
        </w:rPr>
        <w:t>　本省管辖区域内从事气象活动的单位和个人，应当接受县级以上气象主管机构的指导、监督和行业管理。</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第六条</w:t>
      </w:r>
      <w:r>
        <w:rPr>
          <w:rFonts w:hint="eastAsia"/>
        </w:rPr>
        <w:t>　鼓励和支持气象科学技术研究、气象科学知识普及，培养气象人才，推广先进的气象科学技术，保护气象科技成果，加强气象合作与交流，发展气象信息产业，提高气象工作水平。</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第七条　</w:t>
      </w:r>
      <w:r>
        <w:rPr>
          <w:rFonts w:hint="eastAsia"/>
        </w:rPr>
        <w:t>任何单位和个人不得违反国家规定向他人提供涉及国家秘密的气象资料，或者向境外组织和个人提供气象探测场所、气象资料。</w:t>
      </w:r>
    </w:p>
    <w:p>
      <w:pPr>
        <w:keepNext w:val="0"/>
        <w:keepLines w:val="0"/>
        <w:pageBreakBefore w:val="0"/>
        <w:widowControl w:val="0"/>
        <w:kinsoku/>
        <w:wordWrap/>
        <w:overflowPunct/>
        <w:topLinePunct w:val="0"/>
        <w:autoSpaceDE/>
        <w:autoSpaceDN/>
        <w:bidi w:val="0"/>
        <w:adjustRightInd/>
        <w:ind w:firstLine="628" w:firstLineChars="200"/>
        <w:textAlignment w:val="auto"/>
      </w:pPr>
    </w:p>
    <w:p>
      <w:pPr>
        <w:keepNext w:val="0"/>
        <w:keepLines w:val="0"/>
        <w:pageBreakBefore w:val="0"/>
        <w:widowControl w:val="0"/>
        <w:kinsoku/>
        <w:wordWrap/>
        <w:overflowPunct/>
        <w:topLinePunct w:val="0"/>
        <w:autoSpaceDE/>
        <w:autoSpaceDN/>
        <w:bidi w:val="0"/>
        <w:adjustRightInd/>
        <w:ind w:firstLine="628" w:firstLineChars="200"/>
        <w:jc w:val="center"/>
        <w:textAlignment w:val="auto"/>
        <w:rPr>
          <w:rFonts w:ascii="黑体" w:hAnsi="黑体" w:eastAsia="黑体"/>
        </w:rPr>
      </w:pPr>
      <w:r>
        <w:rPr>
          <w:rFonts w:hint="eastAsia" w:ascii="黑体" w:hAnsi="黑体" w:eastAsia="黑体"/>
        </w:rPr>
        <w:t>第二章　气象信息发布与传播</w:t>
      </w:r>
    </w:p>
    <w:p>
      <w:pPr>
        <w:keepNext w:val="0"/>
        <w:keepLines w:val="0"/>
        <w:pageBreakBefore w:val="0"/>
        <w:widowControl w:val="0"/>
        <w:kinsoku/>
        <w:wordWrap/>
        <w:overflowPunct/>
        <w:topLinePunct w:val="0"/>
        <w:autoSpaceDE/>
        <w:autoSpaceDN/>
        <w:bidi w:val="0"/>
        <w:adjustRightInd/>
        <w:ind w:firstLine="628" w:firstLineChars="200"/>
        <w:textAlignment w:val="auto"/>
        <w:rPr>
          <w:rFonts w:hint="eastAsia" w:ascii="黑体" w:hAnsi="黑体" w:eastAsia="黑体"/>
        </w:rPr>
      </w:pPr>
      <w:r>
        <w:rPr>
          <w:rFonts w:hint="eastAsia"/>
        </w:rPr>
        <w:t>　</w:t>
      </w:r>
      <w:r>
        <w:rPr>
          <w:rFonts w:hint="eastAsia" w:ascii="黑体" w:hAnsi="黑体" w:eastAsia="黑体"/>
        </w:rPr>
        <w:t>　</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第八条</w:t>
      </w:r>
      <w:r>
        <w:rPr>
          <w:rFonts w:hint="eastAsia"/>
        </w:rPr>
        <w:t>　县级以上人民政府应当组织气象、水行政、生态环境、农业农村、自然资源、林业等部门，建立气象、水文、海洋、生态、环境等信息共享机制。</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第九条　</w:t>
      </w:r>
      <w:r>
        <w:rPr>
          <w:rFonts w:hint="eastAsia"/>
        </w:rPr>
        <w:t>各级人民政府应当建立健全气象信息传播网络，扩大气象信息服务的覆盖面，提高公共气象服务的时效性。</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第十条</w:t>
      </w:r>
      <w:r>
        <w:rPr>
          <w:rFonts w:hint="eastAsia"/>
        </w:rPr>
        <w:t>　公众气象预报和灾害性天气警报（包括气象灾害预警信号）实行统一发布制度。</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县级以上气象主管机构所属气象台站按照职责，发布公众气象预报、灾害性天气警报。其他单位和个人不得向社会发布公众气象预报、灾害性天气警报。</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第十一条</w:t>
      </w:r>
      <w:r>
        <w:rPr>
          <w:rFonts w:hint="eastAsia"/>
        </w:rPr>
        <w:t>　县级以上气象主管机构应当会同同级农业农村、交通运输、文化旅游、生态环境等部门建立专业气象信息采集、分析和预报系统，并由气象主管机构所属气象台站根据实际需要发布农业、交通、旅游、城市环境、火险等级等专业气象预报。</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第十二条　</w:t>
      </w:r>
      <w:r>
        <w:rPr>
          <w:rFonts w:hint="eastAsia"/>
        </w:rPr>
        <w:t>各级广播、电视台站、政府门户网站和省、设区的市人民政府指定的报纸应当安排专门的时间或者版面，每天播发或者刊登公众气象预报。</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广播、电视台站根据气象预报的时效要求、公众视听习惯确定气象预报节目固定播出时间。需要调整固定播出时间的，应当事先征得气象台站的同意；确因特殊情况需要临时改变播出时间的，应当事先通知气象台站，并告知公众。</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第十三条</w:t>
      </w:r>
      <w:r>
        <w:rPr>
          <w:rFonts w:hint="eastAsia"/>
        </w:rPr>
        <w:t>　广播、电视、报纸、电信、互联网等媒体传播公众气象预报、灾害性天气警报，必须使用气象主管机构所属气象台站直接提供的适时气象信息或者由气象台站直接制作的气象预报节目，并标明发布时间和气象台站的名称。</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广播、电视等媒体应当及时增播或者插播气象主管机构所属气象台站提供的补充、订正的气象信息，实时、滚动播发灾害性天气警报。</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电信企业应当提供有效渠道，保障紧急异常天气信息的及时传播。</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第十四条</w:t>
      </w:r>
      <w:r>
        <w:rPr>
          <w:rFonts w:hint="eastAsia"/>
        </w:rPr>
        <w:t>　广播、电视、报纸、电信、互联网等媒体传播公众气象预报等气象信息的，应当与有关气象主管机构所属气象台站签订协议，明确双方权利和义务。</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通过传播气象信息获得的收益，应当提取一部分用于支持气象事业的发展。</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第十五条</w:t>
      </w:r>
      <w:r>
        <w:rPr>
          <w:rFonts w:hint="eastAsia"/>
        </w:rPr>
        <w:t>　车站、港口、码头、商场、宾馆等公共场所传播气象信息的，信息内容应当适时、完整、准确，并标明信息来源。</w:t>
      </w:r>
    </w:p>
    <w:p>
      <w:pPr>
        <w:keepNext w:val="0"/>
        <w:keepLines w:val="0"/>
        <w:pageBreakBefore w:val="0"/>
        <w:widowControl w:val="0"/>
        <w:kinsoku/>
        <w:wordWrap/>
        <w:overflowPunct/>
        <w:topLinePunct w:val="0"/>
        <w:autoSpaceDE/>
        <w:autoSpaceDN/>
        <w:bidi w:val="0"/>
        <w:adjustRightInd/>
        <w:ind w:firstLine="628" w:firstLineChars="200"/>
        <w:textAlignment w:val="auto"/>
      </w:pPr>
    </w:p>
    <w:p>
      <w:pPr>
        <w:keepNext w:val="0"/>
        <w:keepLines w:val="0"/>
        <w:pageBreakBefore w:val="0"/>
        <w:widowControl w:val="0"/>
        <w:kinsoku/>
        <w:wordWrap/>
        <w:overflowPunct/>
        <w:topLinePunct w:val="0"/>
        <w:autoSpaceDE/>
        <w:autoSpaceDN/>
        <w:bidi w:val="0"/>
        <w:adjustRightInd/>
        <w:ind w:firstLine="628" w:firstLineChars="200"/>
        <w:jc w:val="center"/>
        <w:textAlignment w:val="auto"/>
        <w:rPr>
          <w:rFonts w:ascii="黑体" w:hAnsi="黑体" w:eastAsia="黑体"/>
        </w:rPr>
      </w:pPr>
      <w:r>
        <w:rPr>
          <w:rFonts w:hint="eastAsia" w:ascii="黑体" w:hAnsi="黑体" w:eastAsia="黑体"/>
        </w:rPr>
        <w:t>第三章　气象灾害防御</w:t>
      </w:r>
    </w:p>
    <w:p>
      <w:pPr>
        <w:keepNext w:val="0"/>
        <w:keepLines w:val="0"/>
        <w:pageBreakBefore w:val="0"/>
        <w:widowControl w:val="0"/>
        <w:kinsoku/>
        <w:wordWrap/>
        <w:overflowPunct/>
        <w:topLinePunct w:val="0"/>
        <w:autoSpaceDE/>
        <w:autoSpaceDN/>
        <w:bidi w:val="0"/>
        <w:adjustRightInd/>
        <w:ind w:firstLine="628" w:firstLineChars="200"/>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第十六条</w:t>
      </w:r>
      <w:r>
        <w:rPr>
          <w:rFonts w:hint="eastAsia"/>
        </w:rPr>
        <w:t>　各级人民政府应当加强气象灾害防御工作，组织建设气象灾害监测、预警系统，开展气象灾害普查，制定并实施气象灾害防御规划和气象灾害防御应急预案，提高气象灾害防御能力。</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第十七条　</w:t>
      </w:r>
      <w:r>
        <w:rPr>
          <w:rFonts w:hint="eastAsia"/>
        </w:rPr>
        <w:t>县级以上气象主管机构应当组织对重大灾害性天气的跨地区、跨部门的联合监测、预警工作，及时提出气象灾害防御措施，并对重大气象灾害作出评估，为本级人民政府组织防御气象灾害提供决策依据。</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第十八条</w:t>
      </w:r>
      <w:r>
        <w:rPr>
          <w:rFonts w:hint="eastAsia"/>
        </w:rPr>
        <w:t>　易受气象灾害危害地区的社区、村庄以及车站、港口、码头、学校、医院等公共场所，应当建设完善灾害性天气警报信息的接收、播发设施，并保证设施的正常运转。</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易受气象灾害危害的地区，乡镇人民政府、街道办事处应当确定人员，协助气象主管机构开展防灾知识宣传、灾害性天气警报信息传播、气象灾害报告和灾情调查等工作。</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第十九条</w:t>
      </w:r>
      <w:r>
        <w:rPr>
          <w:rFonts w:hint="eastAsia"/>
        </w:rPr>
        <w:t>　当发生或者有迹象发生突发性灾害天气时，气象台站应当及时向突发公共事件应急管理机构报送相关信息，突发公共事件应急管理机构应当即时作出应急响应。</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当发生化学危险品泄露、核泄漏等重大突发公共安全事件时，气象主管机构应当根据突发公共事件应急预案要求，启动相应的应急气象服务。</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第二十条</w:t>
      </w:r>
      <w:r>
        <w:rPr>
          <w:rFonts w:hint="eastAsia"/>
        </w:rPr>
        <w:t>　按照国家和省规定必须安装的雷电灾害防护装置，应当与主体工程同时设计、同时施工、同时投入使用。</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雷电灾害防护装置设计审核、竣工验收和检测档案应当纳入建设档案管理。</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雷电灾害防护装置的设计审核、竣工验收、检测，防雷专业单位资质的认定和管理，按照国家和省有关规定执行。</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第二十一条</w:t>
      </w:r>
      <w:r>
        <w:rPr>
          <w:rFonts w:hint="eastAsia"/>
        </w:rPr>
        <w:t>　县级以上气象主管机构应当加强对本管辖区域雷电分布规律的细化监测分析，并向社会公布监测分析结果。</w:t>
      </w:r>
    </w:p>
    <w:p>
      <w:pPr>
        <w:keepNext w:val="0"/>
        <w:keepLines w:val="0"/>
        <w:pageBreakBefore w:val="0"/>
        <w:widowControl w:val="0"/>
        <w:kinsoku/>
        <w:wordWrap/>
        <w:overflowPunct/>
        <w:topLinePunct w:val="0"/>
        <w:autoSpaceDE/>
        <w:autoSpaceDN/>
        <w:bidi w:val="0"/>
        <w:adjustRightInd/>
        <w:ind w:firstLine="628" w:firstLineChars="200"/>
        <w:textAlignment w:val="auto"/>
        <w:rPr>
          <w:rFonts w:hint="eastAsia" w:ascii="仿宋_GB2312"/>
        </w:rPr>
      </w:pPr>
      <w:r>
        <w:rPr>
          <w:rFonts w:hint="eastAsia" w:ascii="黑体" w:hAnsi="黑体" w:eastAsia="黑体"/>
        </w:rPr>
        <w:t>第二十二条　</w:t>
      </w:r>
      <w:r>
        <w:rPr>
          <w:rFonts w:hint="eastAsia" w:ascii="仿宋_GB2312" w:hAnsi="黑体"/>
        </w:rPr>
        <w:t>因建（构）筑物和其他设施建设，增加周边雷击风险的，建设</w:t>
      </w:r>
      <w:r>
        <w:rPr>
          <w:rFonts w:hint="eastAsia" w:ascii="仿宋_GB2312"/>
        </w:rPr>
        <w:t>单位应当采取相应防护措施。</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第二十三条</w:t>
      </w:r>
      <w:r>
        <w:rPr>
          <w:rFonts w:hint="eastAsia" w:ascii="仿宋_GB2312"/>
        </w:rPr>
        <w:t>　建</w:t>
      </w:r>
      <w:r>
        <w:rPr>
          <w:rFonts w:hint="eastAsia"/>
        </w:rPr>
        <w:t>（构）筑物安装的户外广告、太阳能热水器、信息接收装置等设施，应当符合安装技术规范，避免影响建（构）筑物雷电灾害防护装置的功能。</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第二十四条　</w:t>
      </w:r>
      <w:r>
        <w:rPr>
          <w:rFonts w:hint="eastAsia"/>
        </w:rPr>
        <w:t>气象灾害的性质和等级由气象主管机构会同有关部门确定并公布，其他单位和个人不得确定或者公布。</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诉讼、保险理赔等活动需要气象主管机构提供气象灾害证明材料或者气象灾害评估报告的，气象主管机构应当提供气象证明材料或者组织有关专家对气象灾害进行调查鉴定后提供气象灾害评估报告。</w:t>
      </w:r>
    </w:p>
    <w:p>
      <w:pPr>
        <w:keepNext w:val="0"/>
        <w:keepLines w:val="0"/>
        <w:pageBreakBefore w:val="0"/>
        <w:widowControl w:val="0"/>
        <w:kinsoku/>
        <w:wordWrap/>
        <w:overflowPunct/>
        <w:topLinePunct w:val="0"/>
        <w:autoSpaceDE/>
        <w:autoSpaceDN/>
        <w:bidi w:val="0"/>
        <w:adjustRightInd/>
        <w:ind w:firstLine="628" w:firstLineChars="200"/>
        <w:textAlignment w:val="auto"/>
      </w:pPr>
    </w:p>
    <w:p>
      <w:pPr>
        <w:keepNext w:val="0"/>
        <w:keepLines w:val="0"/>
        <w:pageBreakBefore w:val="0"/>
        <w:widowControl w:val="0"/>
        <w:kinsoku/>
        <w:wordWrap/>
        <w:overflowPunct/>
        <w:topLinePunct w:val="0"/>
        <w:autoSpaceDE/>
        <w:autoSpaceDN/>
        <w:bidi w:val="0"/>
        <w:adjustRightInd/>
        <w:ind w:firstLine="628" w:firstLineChars="200"/>
        <w:jc w:val="center"/>
        <w:textAlignment w:val="auto"/>
        <w:rPr>
          <w:rFonts w:ascii="黑体" w:hAnsi="黑体" w:eastAsia="黑体"/>
        </w:rPr>
      </w:pPr>
      <w:r>
        <w:rPr>
          <w:rFonts w:hint="eastAsia" w:ascii="黑体" w:hAnsi="黑体" w:eastAsia="黑体"/>
        </w:rPr>
        <w:t>第四章　气象设施建设与保护</w:t>
      </w:r>
    </w:p>
    <w:p>
      <w:pPr>
        <w:keepNext w:val="0"/>
        <w:keepLines w:val="0"/>
        <w:pageBreakBefore w:val="0"/>
        <w:widowControl w:val="0"/>
        <w:kinsoku/>
        <w:wordWrap/>
        <w:overflowPunct/>
        <w:topLinePunct w:val="0"/>
        <w:autoSpaceDE/>
        <w:autoSpaceDN/>
        <w:bidi w:val="0"/>
        <w:adjustRightInd/>
        <w:ind w:firstLine="628" w:firstLineChars="200"/>
        <w:textAlignment w:val="auto"/>
        <w:rPr>
          <w:rFonts w:hint="eastAsia" w:ascii="黑体" w:hAnsi="黑体" w:eastAsia="黑体"/>
        </w:rPr>
      </w:pPr>
      <w:r>
        <w:rPr>
          <w:rFonts w:hint="eastAsia"/>
        </w:rPr>
        <w:t>　</w:t>
      </w:r>
      <w:r>
        <w:rPr>
          <w:rFonts w:hint="eastAsia" w:ascii="黑体" w:hAnsi="黑体" w:eastAsia="黑体"/>
        </w:rPr>
        <w:t>　</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第二十五条</w:t>
      </w:r>
      <w:r>
        <w:rPr>
          <w:rFonts w:hint="eastAsia"/>
        </w:rPr>
        <w:t>　县级以上气象主管机构应当根据上级气象设施建设规划，按照合理布局、有效利用的原则，编制本管辖区域气象设施布局规划，报本级人民政府批准后实施。</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第二十六条　</w:t>
      </w:r>
      <w:r>
        <w:rPr>
          <w:rFonts w:hint="eastAsia"/>
        </w:rPr>
        <w:t>下列气象设施建设项目，在项目报批前，应当征求省级以上气象主管机构的意见：</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（一）新建气象探测、通信、预警、预报、联防等全省性布点项目；</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（二）国家和省规定的其他项目。</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第二十七条</w:t>
      </w:r>
      <w:r>
        <w:rPr>
          <w:rFonts w:hint="eastAsia"/>
        </w:rPr>
        <w:t>　任何组织和个人未经依法批准不得迁移气象台站。因重点工程建设和实施城市规划，确需迁移气象台站的，应当按照国家规定报经省级以上气象主管机构批准，并由建设单位承担全部迁建费用。</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按照国家规定需要进行新旧站址气象对比观测的，在规定的对比观测期内，建设单位不得实施影响气象对比观测的工程建设活动。</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第二十八条</w:t>
      </w:r>
      <w:r>
        <w:rPr>
          <w:rFonts w:hint="eastAsia"/>
        </w:rPr>
        <w:t>　县级以上气象主管机构所属气象台站应当加强气象设施的维护，确保气象设施完好。</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气象设施因不可抗力遭受损坏时，当地人民政府应当采取紧急措施，组织力量修复，确保气象设施正常运行。</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第二十九条</w:t>
      </w:r>
      <w:r>
        <w:rPr>
          <w:rFonts w:hint="eastAsia"/>
        </w:rPr>
        <w:t>　禁止侵占、损毁气象设施、场地以及干扰气象专用频道、信道等行为；禁止擅自移动气象设施。</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第三十条　</w:t>
      </w:r>
      <w:r>
        <w:rPr>
          <w:rFonts w:hint="eastAsia"/>
        </w:rPr>
        <w:t>县级以上人民政府应当组织自然资源、气象等部门按照国家和地方有关标准划定气象探测环境保护范围，并纳入国土空间规划；对现有不符合规定标准的探测场地，应当予以改善或者重建。</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第三十一条　</w:t>
      </w:r>
      <w:r>
        <w:rPr>
          <w:rFonts w:hint="eastAsia"/>
        </w:rPr>
        <w:t>在气象探测环境保护范围内，禁止从事下列危害气象探测环境的行为：</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（一）设置超过规定高度的建（构）筑物；</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（二）爆破、采石、取土、焚烧、开挖水体；</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（三）种植超过规定高度的作物、树木；</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（四）设置影响气象探测设施工作效能的高频电磁辐射装置；</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（五）其他影响气象探测的行为。</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第三十二条</w:t>
      </w:r>
      <w:r>
        <w:rPr>
          <w:rFonts w:hint="eastAsia"/>
        </w:rPr>
        <w:t>　在气象探测环境保护范围内新建、扩建、改建建设工程，建设单位在申请建设用地规划许可和建设工程规划许可前应当依法征得气象主管机构同意。</w:t>
      </w:r>
    </w:p>
    <w:p>
      <w:pPr>
        <w:keepNext w:val="0"/>
        <w:keepLines w:val="0"/>
        <w:pageBreakBefore w:val="0"/>
        <w:widowControl w:val="0"/>
        <w:kinsoku/>
        <w:wordWrap/>
        <w:overflowPunct/>
        <w:topLinePunct w:val="0"/>
        <w:autoSpaceDE/>
        <w:autoSpaceDN/>
        <w:bidi w:val="0"/>
        <w:adjustRightInd/>
        <w:ind w:firstLine="628" w:firstLineChars="200"/>
        <w:textAlignment w:val="auto"/>
      </w:pPr>
    </w:p>
    <w:p>
      <w:pPr>
        <w:keepNext w:val="0"/>
        <w:keepLines w:val="0"/>
        <w:pageBreakBefore w:val="0"/>
        <w:widowControl w:val="0"/>
        <w:kinsoku/>
        <w:wordWrap/>
        <w:overflowPunct/>
        <w:topLinePunct w:val="0"/>
        <w:autoSpaceDE/>
        <w:autoSpaceDN/>
        <w:bidi w:val="0"/>
        <w:adjustRightInd/>
        <w:ind w:firstLine="628" w:firstLineChars="200"/>
        <w:jc w:val="center"/>
        <w:textAlignment w:val="auto"/>
        <w:rPr>
          <w:rFonts w:ascii="黑体" w:hAnsi="黑体" w:eastAsia="黑体"/>
        </w:rPr>
      </w:pPr>
      <w:r>
        <w:rPr>
          <w:rFonts w:hint="eastAsia" w:ascii="黑体" w:hAnsi="黑体" w:eastAsia="黑体"/>
        </w:rPr>
        <w:t>第五章　气候资源开发利用</w:t>
      </w:r>
    </w:p>
    <w:p>
      <w:pPr>
        <w:keepNext w:val="0"/>
        <w:keepLines w:val="0"/>
        <w:pageBreakBefore w:val="0"/>
        <w:widowControl w:val="0"/>
        <w:kinsoku/>
        <w:wordWrap/>
        <w:overflowPunct/>
        <w:topLinePunct w:val="0"/>
        <w:autoSpaceDE/>
        <w:autoSpaceDN/>
        <w:bidi w:val="0"/>
        <w:adjustRightInd/>
        <w:ind w:firstLine="628" w:firstLineChars="200"/>
        <w:textAlignment w:val="auto"/>
        <w:rPr>
          <w:rFonts w:hint="eastAsia" w:ascii="黑体" w:hAnsi="黑体" w:eastAsia="黑体"/>
        </w:rPr>
      </w:pPr>
      <w:r>
        <w:rPr>
          <w:rFonts w:hint="eastAsia"/>
        </w:rPr>
        <w:t>　</w:t>
      </w:r>
      <w:r>
        <w:rPr>
          <w:rFonts w:hint="eastAsia" w:ascii="黑体" w:hAnsi="黑体" w:eastAsia="黑体"/>
        </w:rPr>
        <w:t>　</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第三十三条</w:t>
      </w:r>
      <w:r>
        <w:rPr>
          <w:rFonts w:hint="eastAsia"/>
        </w:rPr>
        <w:t>　县级以上人民政府应当组织气象主管机构等部门开展气候资源综合调查、区划工作，并对本管辖区域内气候资源开发利用的方向和保护的重点作出规划。</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县级以上人民政府编制国民经济和社会发展规划以及城乡建设、生态建设、环境保护、能源发展等规划，进行产业结构调整和重大建设项目布局时，应当充分利用气候资源区划的成果。</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第三十四条</w:t>
      </w:r>
      <w:r>
        <w:rPr>
          <w:rFonts w:hint="eastAsia"/>
        </w:rPr>
        <w:t>　省气象主管机构负责组织本省气候和大气成分监测、分析和评价，定期发布全省气候公报以及气候变化评估报告。</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第三十五条　</w:t>
      </w:r>
      <w:r>
        <w:rPr>
          <w:rFonts w:hint="eastAsia" w:ascii="仿宋_GB2312" w:hAnsi="黑体"/>
        </w:rPr>
        <w:t>县级以</w:t>
      </w:r>
      <w:r>
        <w:rPr>
          <w:rFonts w:hint="eastAsia"/>
        </w:rPr>
        <w:t>上气象主管机构应当依法开展对城市规划、重大基础设施建设、重点领域或者区域发展建设规划和大型太阳能、风能等气候资源开发项目的气候可行性论证。气候可行性论证的项目范围以及要求，由省发展改革部门会同省气象主管机构确定。</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有关部门在规划编制和项目立项中，应当统筹考虑气候可行性和气象灾害的风险性，避免和减少气象灾害、气候变化对重要设施和工程项目的影响。</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第三十六条</w:t>
      </w:r>
      <w:r>
        <w:rPr>
          <w:rFonts w:hint="eastAsia"/>
        </w:rPr>
        <w:t>　气候资源开发利用应当遵循规模开发、综合利用的原则，鼓励和支持太阳能、风能等可再生能源的开发利用。</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省气象主管机构应当组织建立太阳能、风能监测网，为太阳能电站和风电场的建设、运行提供监测、评估、预报等技术支持。</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第三十七条</w:t>
      </w:r>
      <w:r>
        <w:rPr>
          <w:rFonts w:hint="eastAsia"/>
        </w:rPr>
        <w:t>　气候可行性论证、大气环境影响评价应当使用符合国家气象技术标准的气象资料。</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第三十八条　</w:t>
      </w:r>
      <w:r>
        <w:rPr>
          <w:rFonts w:hint="eastAsia"/>
        </w:rPr>
        <w:t>人工影响天气工作计划由县级以上气象主管机构商有关部门制定，报本级人民政府批准。人工影响天气的作业地点，由气象主管机构会同有关航空管制部门确定。</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从事人工影响天气作业的组织，应当符合省气象主管机构规定的条件。从事人工影响天气作业的人员应当经省气象主管机构培训合格，并持证上岗。</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实施人工影响天气作业规范、操作规程和安全管理等按照国家规定执行。</w:t>
      </w:r>
    </w:p>
    <w:p>
      <w:pPr>
        <w:keepNext w:val="0"/>
        <w:keepLines w:val="0"/>
        <w:pageBreakBefore w:val="0"/>
        <w:widowControl w:val="0"/>
        <w:kinsoku/>
        <w:wordWrap/>
        <w:overflowPunct/>
        <w:topLinePunct w:val="0"/>
        <w:autoSpaceDE/>
        <w:autoSpaceDN/>
        <w:bidi w:val="0"/>
        <w:adjustRightInd/>
        <w:ind w:firstLine="628" w:firstLineChars="200"/>
        <w:textAlignment w:val="auto"/>
      </w:pPr>
    </w:p>
    <w:p>
      <w:pPr>
        <w:keepNext w:val="0"/>
        <w:keepLines w:val="0"/>
        <w:pageBreakBefore w:val="0"/>
        <w:widowControl w:val="0"/>
        <w:kinsoku/>
        <w:wordWrap/>
        <w:overflowPunct/>
        <w:topLinePunct w:val="0"/>
        <w:autoSpaceDE/>
        <w:autoSpaceDN/>
        <w:bidi w:val="0"/>
        <w:adjustRightInd/>
        <w:ind w:firstLine="628" w:firstLineChars="200"/>
        <w:jc w:val="center"/>
        <w:textAlignment w:val="auto"/>
        <w:rPr>
          <w:rFonts w:ascii="黑体" w:hAnsi="黑体" w:eastAsia="黑体"/>
        </w:rPr>
      </w:pPr>
      <w:r>
        <w:rPr>
          <w:rFonts w:hint="eastAsia" w:ascii="黑体" w:hAnsi="黑体" w:eastAsia="黑体"/>
        </w:rPr>
        <w:t>第六章　法律责任</w:t>
      </w:r>
    </w:p>
    <w:p>
      <w:pPr>
        <w:keepNext w:val="0"/>
        <w:keepLines w:val="0"/>
        <w:pageBreakBefore w:val="0"/>
        <w:widowControl w:val="0"/>
        <w:kinsoku/>
        <w:wordWrap/>
        <w:overflowPunct/>
        <w:topLinePunct w:val="0"/>
        <w:autoSpaceDE/>
        <w:autoSpaceDN/>
        <w:bidi w:val="0"/>
        <w:adjustRightInd/>
        <w:ind w:firstLine="628" w:firstLineChars="200"/>
        <w:textAlignment w:val="auto"/>
        <w:rPr>
          <w:rFonts w:hint="eastAsia"/>
        </w:rPr>
      </w:pPr>
      <w:r>
        <w:rPr>
          <w:rFonts w:hint="eastAsia"/>
        </w:rPr>
        <w:t>　　</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第三十九条</w:t>
      </w:r>
      <w:r>
        <w:rPr>
          <w:rFonts w:hint="eastAsia"/>
        </w:rPr>
        <w:t>　违反本条例规定的行为，法律、行政法规已有法律责任规定的，从其规定。</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第四十条</w:t>
      </w:r>
      <w:r>
        <w:rPr>
          <w:rFonts w:hint="eastAsia"/>
        </w:rPr>
        <w:t>　违反本条例第十二条第二款规定，广播、电视台站播出公众气象预报，未经同意调整固定播出时间，或者临时改变播出时间未事先通知气象主管机构并告知公众的，由县级以上气象主管机构责令改正，给予警告。</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第四十一条</w:t>
      </w:r>
      <w:r>
        <w:rPr>
          <w:rFonts w:hint="eastAsia"/>
        </w:rPr>
        <w:t>　违反本条例第二十条第二款规定，未将雷电灾害防护装置设计审核、竣工验收和检测档案纳入建设档案的，由县级以上气象主管机构责令改正；拒不改正的，处五百元以上五千元以下罚款。</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第四十二条</w:t>
      </w:r>
      <w:r>
        <w:rPr>
          <w:rFonts w:hint="eastAsia"/>
        </w:rPr>
        <w:t>　违反本条例第二十七条第二款规定，建设单位在规定的对比观测期内从事影响气象对比观测的工程建设活动的，由县级以上气象主管机构责令其停止施工，限期恢复原状或者采取其他补救措施，可处五千元以上五万元以下罚款。</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第四十三条　</w:t>
      </w:r>
      <w:r>
        <w:rPr>
          <w:rFonts w:hint="eastAsia"/>
        </w:rPr>
        <w:t>违反本条例第三十七条规定，气候可行性论证、大气环境影响评价使用的气象资料不符合国家气象技术标准的，由县级以上气象主管机构责令改正，给予警告，可处五千元以上五万元以下罚款。</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第四十四条　</w:t>
      </w:r>
      <w:r>
        <w:rPr>
          <w:rFonts w:hint="eastAsia"/>
        </w:rPr>
        <w:t>从事雷电灾害防护装置设计、施工、检测的单位和个人，违反有关规范和标准的，按照国家和省规定处罚；情节严重的，对单位可由原发证机关吊销其资质。</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第四十五条　</w:t>
      </w:r>
      <w:r>
        <w:rPr>
          <w:rFonts w:hint="eastAsia"/>
        </w:rPr>
        <w:t>气象主管机构以及有关行政机关有下列情形之一的，由有权机关按照管理权限对负有直接责任的主管人员和其他直接责任人员给予处分：</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（一）未依法提供气象服务，造成严重后果的；</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（二）未按规定的条件和程序实施行政许可的；</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（三）违反法定的权限和程序实施行政处罚的；</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（四）非技术原因造成重大漏报、错报公众气象预报或者灾害性天气警报的；</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（五）丢失或者毁坏原始气象探测资料的；</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rPr>
        <w:t>（六）伪造气象资料的；</w:t>
      </w:r>
    </w:p>
    <w:p>
      <w:pPr>
        <w:keepNext w:val="0"/>
        <w:keepLines w:val="0"/>
        <w:pageBreakBefore w:val="0"/>
        <w:widowControl w:val="0"/>
        <w:kinsoku/>
        <w:wordWrap/>
        <w:overflowPunct/>
        <w:topLinePunct w:val="0"/>
        <w:autoSpaceDE/>
        <w:autoSpaceDN/>
        <w:bidi w:val="0"/>
        <w:adjustRightInd/>
        <w:ind w:firstLine="628" w:firstLineChars="200"/>
        <w:textAlignment w:val="auto"/>
      </w:pPr>
      <w:bookmarkStart w:id="0" w:name="_GoBack"/>
      <w:bookmarkEnd w:id="0"/>
      <w:r>
        <w:rPr>
          <w:rFonts w:hint="eastAsia"/>
        </w:rPr>
        <w:t>（七）有其他滥用职权、玩忽职守、徇私舞弊行为的。</w:t>
      </w:r>
    </w:p>
    <w:p>
      <w:pPr>
        <w:keepNext w:val="0"/>
        <w:keepLines w:val="0"/>
        <w:pageBreakBefore w:val="0"/>
        <w:widowControl w:val="0"/>
        <w:kinsoku/>
        <w:wordWrap/>
        <w:overflowPunct/>
        <w:topLinePunct w:val="0"/>
        <w:autoSpaceDE/>
        <w:autoSpaceDN/>
        <w:bidi w:val="0"/>
        <w:adjustRightInd/>
        <w:ind w:firstLine="628" w:firstLineChars="200"/>
        <w:textAlignment w:val="auto"/>
      </w:pPr>
    </w:p>
    <w:p>
      <w:pPr>
        <w:keepNext w:val="0"/>
        <w:keepLines w:val="0"/>
        <w:pageBreakBefore w:val="0"/>
        <w:widowControl w:val="0"/>
        <w:kinsoku/>
        <w:wordWrap/>
        <w:overflowPunct/>
        <w:topLinePunct w:val="0"/>
        <w:autoSpaceDE/>
        <w:autoSpaceDN/>
        <w:bidi w:val="0"/>
        <w:adjustRightInd/>
        <w:ind w:firstLine="628" w:firstLineChars="200"/>
        <w:jc w:val="center"/>
        <w:textAlignment w:val="auto"/>
        <w:rPr>
          <w:rFonts w:ascii="黑体" w:hAnsi="黑体" w:eastAsia="黑体"/>
        </w:rPr>
      </w:pPr>
      <w:r>
        <w:rPr>
          <w:rFonts w:hint="eastAsia" w:ascii="黑体" w:hAnsi="黑体" w:eastAsia="黑体"/>
        </w:rPr>
        <w:t>第七章　附则</w:t>
      </w:r>
    </w:p>
    <w:p>
      <w:pPr>
        <w:keepNext w:val="0"/>
        <w:keepLines w:val="0"/>
        <w:pageBreakBefore w:val="0"/>
        <w:widowControl w:val="0"/>
        <w:kinsoku/>
        <w:wordWrap/>
        <w:overflowPunct/>
        <w:topLinePunct w:val="0"/>
        <w:autoSpaceDE/>
        <w:autoSpaceDN/>
        <w:bidi w:val="0"/>
        <w:adjustRightInd/>
        <w:ind w:firstLine="628" w:firstLineChars="200"/>
        <w:textAlignment w:val="auto"/>
        <w:rPr>
          <w:rFonts w:hint="eastAsia" w:ascii="黑体" w:hAnsi="黑体" w:eastAsia="黑体"/>
        </w:rPr>
      </w:pPr>
      <w:r>
        <w:rPr>
          <w:rFonts w:hint="eastAsia"/>
        </w:rPr>
        <w:t>　</w:t>
      </w:r>
      <w:r>
        <w:rPr>
          <w:rFonts w:hint="eastAsia" w:ascii="黑体" w:hAnsi="黑体" w:eastAsia="黑体"/>
        </w:rPr>
        <w:t>　</w:t>
      </w:r>
    </w:p>
    <w:p>
      <w:pPr>
        <w:keepNext w:val="0"/>
        <w:keepLines w:val="0"/>
        <w:pageBreakBefore w:val="0"/>
        <w:widowControl w:val="0"/>
        <w:kinsoku/>
        <w:wordWrap/>
        <w:overflowPunct/>
        <w:topLinePunct w:val="0"/>
        <w:autoSpaceDE/>
        <w:autoSpaceDN/>
        <w:bidi w:val="0"/>
        <w:adjustRightInd/>
        <w:ind w:firstLine="628" w:firstLineChars="200"/>
        <w:textAlignment w:val="auto"/>
      </w:pPr>
      <w:r>
        <w:rPr>
          <w:rFonts w:hint="eastAsia" w:ascii="黑体" w:hAnsi="黑体" w:eastAsia="黑体"/>
        </w:rPr>
        <w:t>第四十六条</w:t>
      </w:r>
      <w:r>
        <w:rPr>
          <w:rFonts w:hint="eastAsia"/>
        </w:rPr>
        <w:t>　本条例自2008年1月1日起施行。浙江省人民政府发布的《浙江省实施〈中华人民共和国气象法〉办法》同时废止。</w:t>
      </w:r>
    </w:p>
    <w:p>
      <w:pPr>
        <w:keepNext w:val="0"/>
        <w:keepLines w:val="0"/>
        <w:pageBreakBefore w:val="0"/>
        <w:widowControl w:val="0"/>
        <w:kinsoku/>
        <w:wordWrap/>
        <w:overflowPunct/>
        <w:topLinePunct w:val="0"/>
        <w:autoSpaceDE/>
        <w:autoSpaceDN/>
        <w:bidi w:val="0"/>
        <w:adjustRightInd/>
        <w:ind w:firstLine="652" w:firstLineChars="200"/>
        <w:textAlignment w:val="auto"/>
        <w:rPr>
          <w:rFonts w:ascii="楷体_GB2312" w:hAnsi="Calibri" w:eastAsia="楷体_GB2312"/>
          <w:spacing w:val="0"/>
          <w:szCs w:val="32"/>
        </w:rPr>
      </w:pPr>
    </w:p>
    <w:sectPr>
      <w:footerReference r:id="rId5" w:type="default"/>
      <w:footerReference r:id="rId6" w:type="even"/>
      <w:pgSz w:w="11906" w:h="16838"/>
      <w:pgMar w:top="2013" w:right="1474" w:bottom="1899" w:left="1588" w:header="851" w:footer="1037" w:gutter="0"/>
      <w:cols w:space="720" w:num="1"/>
      <w:docGrid w:type="linesAndChars" w:linePitch="590" w:charSpace="12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黑体_GBK">
    <w:altName w:val="黑体"/>
    <w:panose1 w:val="00000000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spacing w:line="478" w:lineRule="auto"/>
      <w:ind w:right="308" w:rightChars="100"/>
      <w:jc w:val="right"/>
      <w:rPr>
        <w:rFonts w:ascii="楷体_GB2312" w:eastAsia="楷体_GB2312"/>
        <w:sz w:val="28"/>
      </w:rPr>
    </w:pPr>
    <w:r>
      <w:rPr>
        <w:rStyle w:val="6"/>
        <w:rFonts w:hint="eastAsia" w:ascii="宋体" w:hAnsi="宋体" w:eastAsia="宋体"/>
        <w:sz w:val="28"/>
      </w:rPr>
      <w:t xml:space="preserve">— </w:t>
    </w:r>
    <w:r>
      <w:rPr>
        <w:rFonts w:hint="eastAsia" w:ascii="宋体" w:hAnsi="宋体" w:eastAsia="宋体" w:cs="宋体"/>
        <w:sz w:val="28"/>
        <w:szCs w:val="28"/>
      </w:rPr>
      <w:fldChar w:fldCharType="begin"/>
    </w:r>
    <w:r>
      <w:rPr>
        <w:rStyle w:val="6"/>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t>11</w:t>
    </w:r>
    <w:r>
      <w:rPr>
        <w:rFonts w:hint="eastAsia" w:ascii="宋体" w:hAnsi="宋体" w:eastAsia="宋体" w:cs="宋体"/>
        <w:sz w:val="28"/>
        <w:szCs w:val="28"/>
      </w:rPr>
      <w:fldChar w:fldCharType="end"/>
    </w:r>
    <w:r>
      <w:rPr>
        <w:rStyle w:val="6"/>
        <w:rFonts w:hint="eastAsia" w:ascii="宋体" w:hAnsi="宋体" w:eastAsia="宋体"/>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471" w:lineRule="auto"/>
      <w:ind w:left="308" w:leftChars="100"/>
      <w:jc w:val="left"/>
      <w:rPr>
        <w:rStyle w:val="6"/>
        <w:rFonts w:ascii="宋体" w:hAnsi="宋体" w:eastAsia="宋体"/>
        <w:sz w:val="28"/>
      </w:rPr>
    </w:pPr>
    <w:r>
      <w:rPr>
        <w:rStyle w:val="6"/>
        <w:rFonts w:hint="eastAsia" w:ascii="宋体" w:hAnsi="宋体" w:eastAsia="宋体"/>
        <w:sz w:val="28"/>
      </w:rPr>
      <w:t xml:space="preserve">— </w:t>
    </w:r>
    <w:r>
      <w:rPr>
        <w:rFonts w:hint="eastAsia" w:ascii="宋体" w:hAnsi="宋体" w:eastAsia="宋体"/>
        <w:sz w:val="28"/>
      </w:rPr>
      <w:fldChar w:fldCharType="begin"/>
    </w:r>
    <w:r>
      <w:rPr>
        <w:rStyle w:val="6"/>
        <w:rFonts w:hint="eastAsia" w:ascii="宋体" w:hAnsi="宋体" w:eastAsia="宋体"/>
        <w:sz w:val="28"/>
      </w:rPr>
      <w:instrText xml:space="preserve"> PAGE </w:instrText>
    </w:r>
    <w:r>
      <w:rPr>
        <w:rFonts w:hint="eastAsia" w:ascii="宋体" w:hAnsi="宋体" w:eastAsia="宋体"/>
        <w:sz w:val="28"/>
      </w:rPr>
      <w:fldChar w:fldCharType="separate"/>
    </w:r>
    <w:r>
      <w:rPr>
        <w:rStyle w:val="6"/>
        <w:rFonts w:ascii="宋体" w:hAnsi="宋体" w:eastAsia="宋体"/>
        <w:sz w:val="28"/>
      </w:rPr>
      <w:t>12</w:t>
    </w:r>
    <w:r>
      <w:rPr>
        <w:rFonts w:hint="eastAsia" w:ascii="宋体" w:hAnsi="宋体" w:eastAsia="宋体"/>
        <w:sz w:val="28"/>
      </w:rPr>
      <w:fldChar w:fldCharType="end"/>
    </w:r>
    <w:r>
      <w:rPr>
        <w:rStyle w:val="6"/>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multilevel"/>
    <w:tmpl w:val="00000009"/>
    <w:lvl w:ilvl="0" w:tentative="0">
      <w:start w:val="1"/>
      <w:numFmt w:val="chineseCountingThousand"/>
      <w:pStyle w:val="10"/>
      <w:suff w:val="space"/>
      <w:lvlText w:val="第%1章"/>
      <w:lvlJc w:val="left"/>
      <w:pPr>
        <w:ind w:left="0" w:firstLine="454"/>
      </w:pPr>
      <w:rPr>
        <w:rFonts w:hint="eastAsia" w:eastAsia="方正黑体_GBK"/>
        <w:color w:val="auto"/>
      </w:rPr>
    </w:lvl>
    <w:lvl w:ilvl="1" w:tentative="0">
      <w:start w:val="1"/>
      <w:numFmt w:val="chineseCountingThousand"/>
      <w:suff w:val="space"/>
      <w:lvlText w:val="第%2条"/>
      <w:lvlJc w:val="left"/>
      <w:pPr>
        <w:ind w:left="0" w:firstLine="0"/>
      </w:pPr>
      <w:rPr>
        <w:rFonts w:hint="eastAsia" w:eastAsia="方正黑体_GBK"/>
        <w:color w:val="auto"/>
      </w:rPr>
    </w:lvl>
    <w:lvl w:ilvl="2" w:tentative="0">
      <w:start w:val="1"/>
      <w:numFmt w:val="chineseCountingThousand"/>
      <w:suff w:val="space"/>
      <w:lvlText w:val="第%3条"/>
      <w:lvlJc w:val="left"/>
      <w:pPr>
        <w:ind w:left="0" w:firstLine="454"/>
      </w:pPr>
      <w:rPr>
        <w:rFonts w:hint="eastAsia"/>
        <w:color w:val="auto"/>
      </w:rPr>
    </w:lvl>
    <w:lvl w:ilvl="3" w:tentative="0">
      <w:start w:val="1"/>
      <w:numFmt w:val="chineseCountingThousand"/>
      <w:suff w:val="space"/>
      <w:lvlText w:val="（%4）"/>
      <w:lvlJc w:val="left"/>
      <w:pPr>
        <w:ind w:left="0" w:firstLine="340"/>
      </w:pPr>
      <w:rPr>
        <w:rFonts w:hint="eastAsia"/>
        <w:color w:val="auto"/>
      </w:rPr>
    </w:lvl>
    <w:lvl w:ilvl="4" w:tentative="0">
      <w:start w:val="1"/>
      <w:numFmt w:val="decimal"/>
      <w:suff w:val="space"/>
      <w:lvlText w:val="%5．"/>
      <w:lvlJc w:val="left"/>
      <w:pPr>
        <w:ind w:left="0" w:firstLine="454"/>
      </w:pPr>
      <w:rPr>
        <w:rFonts w:hint="eastAsia"/>
        <w:color w:val="auto"/>
      </w:rPr>
    </w:lvl>
    <w:lvl w:ilvl="5" w:tentative="0">
      <w:start w:val="1"/>
      <w:numFmt w:val="decimal"/>
      <w:suff w:val="space"/>
      <w:lvlText w:val="（%6）"/>
      <w:lvlJc w:val="left"/>
      <w:pPr>
        <w:ind w:left="0" w:firstLine="340"/>
      </w:pPr>
      <w:rPr>
        <w:rFonts w:hint="eastAsia"/>
        <w:color w:val="auto"/>
      </w:rPr>
    </w:lvl>
    <w:lvl w:ilvl="6" w:tentative="0">
      <w:start w:val="1"/>
      <w:numFmt w:val="decimalEnclosedCircle"/>
      <w:suff w:val="space"/>
      <w:lvlText w:val="%7 "/>
      <w:lvlJc w:val="left"/>
      <w:pPr>
        <w:ind w:left="0" w:firstLine="454"/>
      </w:pPr>
      <w:rPr>
        <w:rFonts w:hint="eastAsia"/>
        <w:color w:val="auto"/>
      </w:rPr>
    </w:lvl>
    <w:lvl w:ilvl="7" w:tentative="0">
      <w:start w:val="1"/>
      <w:numFmt w:val="decimal"/>
      <w:suff w:val="space"/>
      <w:lvlText w:val="%8）"/>
      <w:lvlJc w:val="left"/>
      <w:pPr>
        <w:ind w:left="0" w:firstLine="454"/>
      </w:pPr>
      <w:rPr>
        <w:rFonts w:hint="eastAsia"/>
        <w:color w:val="auto"/>
      </w:rPr>
    </w:lvl>
    <w:lvl w:ilvl="8" w:tentative="0">
      <w:start w:val="1"/>
      <w:numFmt w:val="none"/>
      <w:suff w:val="space"/>
      <w:lvlText w:val="a．"/>
      <w:lvlJc w:val="left"/>
      <w:pPr>
        <w:ind w:left="0" w:firstLine="454"/>
      </w:pPr>
      <w:rPr>
        <w:rFonts w:hint="eastAsia"/>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720"/>
  <w:evenAndOddHeaders w:val="1"/>
  <w:drawingGridHorizontalSpacing w:val="308"/>
  <w:drawingGridVerticalSpacing w:val="295"/>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2"/>
  </w:compat>
  <w:docVars>
    <w:docVar w:name="iDocStyle" w:val="2"/>
  </w:docVars>
  <w:rsids>
    <w:rsidRoot w:val="0FE0082F"/>
    <w:rsid w:val="00012509"/>
    <w:rsid w:val="000475F1"/>
    <w:rsid w:val="00071F92"/>
    <w:rsid w:val="000A30AE"/>
    <w:rsid w:val="000B718B"/>
    <w:rsid w:val="00177AB0"/>
    <w:rsid w:val="00185477"/>
    <w:rsid w:val="00195369"/>
    <w:rsid w:val="001B173E"/>
    <w:rsid w:val="002330AE"/>
    <w:rsid w:val="0025241B"/>
    <w:rsid w:val="003076A5"/>
    <w:rsid w:val="00325CCF"/>
    <w:rsid w:val="00326B76"/>
    <w:rsid w:val="00345CF4"/>
    <w:rsid w:val="00351D20"/>
    <w:rsid w:val="00354CAA"/>
    <w:rsid w:val="00443EC5"/>
    <w:rsid w:val="00471C2E"/>
    <w:rsid w:val="004A2012"/>
    <w:rsid w:val="004A6FA5"/>
    <w:rsid w:val="00555C79"/>
    <w:rsid w:val="0055646D"/>
    <w:rsid w:val="005C48E2"/>
    <w:rsid w:val="005D1282"/>
    <w:rsid w:val="005D6772"/>
    <w:rsid w:val="00664B93"/>
    <w:rsid w:val="00673543"/>
    <w:rsid w:val="006844AE"/>
    <w:rsid w:val="00693CC7"/>
    <w:rsid w:val="006E585C"/>
    <w:rsid w:val="007072FA"/>
    <w:rsid w:val="007A02F1"/>
    <w:rsid w:val="007C6B43"/>
    <w:rsid w:val="007E7972"/>
    <w:rsid w:val="0081294D"/>
    <w:rsid w:val="00821AE1"/>
    <w:rsid w:val="00854221"/>
    <w:rsid w:val="008616FB"/>
    <w:rsid w:val="00881273"/>
    <w:rsid w:val="0089292F"/>
    <w:rsid w:val="008A579E"/>
    <w:rsid w:val="009F46E8"/>
    <w:rsid w:val="00A0649E"/>
    <w:rsid w:val="00AA4897"/>
    <w:rsid w:val="00AE0A83"/>
    <w:rsid w:val="00AE3598"/>
    <w:rsid w:val="00B26CB1"/>
    <w:rsid w:val="00B34C54"/>
    <w:rsid w:val="00B57C35"/>
    <w:rsid w:val="00BC69E5"/>
    <w:rsid w:val="00C26BE1"/>
    <w:rsid w:val="00C53B1D"/>
    <w:rsid w:val="00C92B4A"/>
    <w:rsid w:val="00C971A5"/>
    <w:rsid w:val="00CD6B1A"/>
    <w:rsid w:val="00D41F28"/>
    <w:rsid w:val="00D57722"/>
    <w:rsid w:val="00D770C9"/>
    <w:rsid w:val="00DB1A8B"/>
    <w:rsid w:val="00DF139B"/>
    <w:rsid w:val="00DF2D58"/>
    <w:rsid w:val="00DF69CD"/>
    <w:rsid w:val="00E74C30"/>
    <w:rsid w:val="00E80664"/>
    <w:rsid w:val="00E80EF2"/>
    <w:rsid w:val="00F16656"/>
    <w:rsid w:val="00F44037"/>
    <w:rsid w:val="00F51BDE"/>
    <w:rsid w:val="00F912FC"/>
    <w:rsid w:val="00FD5D6F"/>
    <w:rsid w:val="00FF61EA"/>
    <w:rsid w:val="012F690B"/>
    <w:rsid w:val="016D1377"/>
    <w:rsid w:val="018C7A5D"/>
    <w:rsid w:val="01C27AAF"/>
    <w:rsid w:val="02226A01"/>
    <w:rsid w:val="022A796F"/>
    <w:rsid w:val="023B20B0"/>
    <w:rsid w:val="024E78A8"/>
    <w:rsid w:val="027F5347"/>
    <w:rsid w:val="02AD65F0"/>
    <w:rsid w:val="02B91B75"/>
    <w:rsid w:val="02D15216"/>
    <w:rsid w:val="031B6986"/>
    <w:rsid w:val="033B51C1"/>
    <w:rsid w:val="03EC7C34"/>
    <w:rsid w:val="042E391A"/>
    <w:rsid w:val="0475505E"/>
    <w:rsid w:val="04F21539"/>
    <w:rsid w:val="053F46ED"/>
    <w:rsid w:val="056117E3"/>
    <w:rsid w:val="057A1088"/>
    <w:rsid w:val="05F942D3"/>
    <w:rsid w:val="05FB519C"/>
    <w:rsid w:val="069731DA"/>
    <w:rsid w:val="07620A32"/>
    <w:rsid w:val="07FB2CF3"/>
    <w:rsid w:val="085C5EDB"/>
    <w:rsid w:val="089B030C"/>
    <w:rsid w:val="09364E8C"/>
    <w:rsid w:val="0A502B7A"/>
    <w:rsid w:val="0A5D5370"/>
    <w:rsid w:val="0B0758A7"/>
    <w:rsid w:val="0B7948E1"/>
    <w:rsid w:val="0C1C13CD"/>
    <w:rsid w:val="0C1D4A81"/>
    <w:rsid w:val="0C9F4C78"/>
    <w:rsid w:val="0CBF2113"/>
    <w:rsid w:val="0D1D18C1"/>
    <w:rsid w:val="0D381B5D"/>
    <w:rsid w:val="0DA77EDD"/>
    <w:rsid w:val="0DB314C5"/>
    <w:rsid w:val="0DDB40CB"/>
    <w:rsid w:val="0E1C6318"/>
    <w:rsid w:val="0EED5E99"/>
    <w:rsid w:val="0F244062"/>
    <w:rsid w:val="0F5D363C"/>
    <w:rsid w:val="0F795CDE"/>
    <w:rsid w:val="0F932FC3"/>
    <w:rsid w:val="0FE0082F"/>
    <w:rsid w:val="109C6483"/>
    <w:rsid w:val="10C51440"/>
    <w:rsid w:val="10EB612C"/>
    <w:rsid w:val="110E2421"/>
    <w:rsid w:val="110F5DB1"/>
    <w:rsid w:val="112224C9"/>
    <w:rsid w:val="114C2C18"/>
    <w:rsid w:val="11BB61A0"/>
    <w:rsid w:val="11D5017C"/>
    <w:rsid w:val="11FB0C6A"/>
    <w:rsid w:val="1260094C"/>
    <w:rsid w:val="126C1014"/>
    <w:rsid w:val="12BF4A52"/>
    <w:rsid w:val="12BF4F74"/>
    <w:rsid w:val="131610AD"/>
    <w:rsid w:val="132735E8"/>
    <w:rsid w:val="13760AF9"/>
    <w:rsid w:val="139A227B"/>
    <w:rsid w:val="14192022"/>
    <w:rsid w:val="145A36B5"/>
    <w:rsid w:val="14792463"/>
    <w:rsid w:val="14BC68CC"/>
    <w:rsid w:val="14F040E7"/>
    <w:rsid w:val="15DF2BDC"/>
    <w:rsid w:val="16383B80"/>
    <w:rsid w:val="16584ECC"/>
    <w:rsid w:val="165F0016"/>
    <w:rsid w:val="16B87F60"/>
    <w:rsid w:val="17377C58"/>
    <w:rsid w:val="17B1234E"/>
    <w:rsid w:val="18276355"/>
    <w:rsid w:val="18FA44BA"/>
    <w:rsid w:val="18FF762A"/>
    <w:rsid w:val="190117A2"/>
    <w:rsid w:val="197056B8"/>
    <w:rsid w:val="19AA2B1C"/>
    <w:rsid w:val="1A27316A"/>
    <w:rsid w:val="1A58327E"/>
    <w:rsid w:val="1B6C448D"/>
    <w:rsid w:val="1B901EB6"/>
    <w:rsid w:val="1BC73625"/>
    <w:rsid w:val="1C185C06"/>
    <w:rsid w:val="1C433A5F"/>
    <w:rsid w:val="1C880FFD"/>
    <w:rsid w:val="1D167A93"/>
    <w:rsid w:val="1D6567C6"/>
    <w:rsid w:val="1D88221C"/>
    <w:rsid w:val="1EBC1A82"/>
    <w:rsid w:val="1F2817D3"/>
    <w:rsid w:val="1F4006EF"/>
    <w:rsid w:val="1FC15723"/>
    <w:rsid w:val="1FFC6BFB"/>
    <w:rsid w:val="20950564"/>
    <w:rsid w:val="209A3FD3"/>
    <w:rsid w:val="20E86908"/>
    <w:rsid w:val="21672AEF"/>
    <w:rsid w:val="21722176"/>
    <w:rsid w:val="21F06002"/>
    <w:rsid w:val="21FA6D84"/>
    <w:rsid w:val="22611DF0"/>
    <w:rsid w:val="226F638E"/>
    <w:rsid w:val="228355F0"/>
    <w:rsid w:val="229C47D4"/>
    <w:rsid w:val="236964A7"/>
    <w:rsid w:val="242328C6"/>
    <w:rsid w:val="244F369D"/>
    <w:rsid w:val="24F95938"/>
    <w:rsid w:val="25A46E8C"/>
    <w:rsid w:val="25CD032D"/>
    <w:rsid w:val="25F13BD3"/>
    <w:rsid w:val="260028E0"/>
    <w:rsid w:val="26143F86"/>
    <w:rsid w:val="26EE162C"/>
    <w:rsid w:val="27861C55"/>
    <w:rsid w:val="27B96F91"/>
    <w:rsid w:val="283163FF"/>
    <w:rsid w:val="288F3120"/>
    <w:rsid w:val="29D5336F"/>
    <w:rsid w:val="29D81C33"/>
    <w:rsid w:val="2A464AB5"/>
    <w:rsid w:val="2A7C6217"/>
    <w:rsid w:val="2A994270"/>
    <w:rsid w:val="2B1505C7"/>
    <w:rsid w:val="2BA81853"/>
    <w:rsid w:val="2BAE2EDC"/>
    <w:rsid w:val="2C367966"/>
    <w:rsid w:val="2C644FDA"/>
    <w:rsid w:val="2C9074EB"/>
    <w:rsid w:val="2CB97AED"/>
    <w:rsid w:val="2CD466F6"/>
    <w:rsid w:val="2CEB3FB8"/>
    <w:rsid w:val="2D4659C8"/>
    <w:rsid w:val="2D511857"/>
    <w:rsid w:val="2DBD7057"/>
    <w:rsid w:val="2E121FB9"/>
    <w:rsid w:val="2E48363C"/>
    <w:rsid w:val="2ECC7E14"/>
    <w:rsid w:val="2F4F23A5"/>
    <w:rsid w:val="2F5E45C6"/>
    <w:rsid w:val="2FA6143A"/>
    <w:rsid w:val="30121809"/>
    <w:rsid w:val="314E6206"/>
    <w:rsid w:val="314F05F8"/>
    <w:rsid w:val="317F2CC2"/>
    <w:rsid w:val="32243458"/>
    <w:rsid w:val="322B186C"/>
    <w:rsid w:val="331A42E4"/>
    <w:rsid w:val="332C28EF"/>
    <w:rsid w:val="33312BE8"/>
    <w:rsid w:val="334C61D3"/>
    <w:rsid w:val="343A6CE0"/>
    <w:rsid w:val="3455667B"/>
    <w:rsid w:val="347C66FC"/>
    <w:rsid w:val="354A33CA"/>
    <w:rsid w:val="358715AE"/>
    <w:rsid w:val="35B900CE"/>
    <w:rsid w:val="35FB48BB"/>
    <w:rsid w:val="36B701C2"/>
    <w:rsid w:val="36D652E4"/>
    <w:rsid w:val="37714A2D"/>
    <w:rsid w:val="37C10485"/>
    <w:rsid w:val="38234CA6"/>
    <w:rsid w:val="385200EE"/>
    <w:rsid w:val="38575903"/>
    <w:rsid w:val="38604F16"/>
    <w:rsid w:val="38D01EDB"/>
    <w:rsid w:val="38FF4558"/>
    <w:rsid w:val="39B62B46"/>
    <w:rsid w:val="39BF6712"/>
    <w:rsid w:val="39D06321"/>
    <w:rsid w:val="3A312289"/>
    <w:rsid w:val="3B3974D3"/>
    <w:rsid w:val="3B495673"/>
    <w:rsid w:val="3B617677"/>
    <w:rsid w:val="3C566319"/>
    <w:rsid w:val="3C5F7F6C"/>
    <w:rsid w:val="3C844E55"/>
    <w:rsid w:val="3DAC7411"/>
    <w:rsid w:val="3E146492"/>
    <w:rsid w:val="3E551E78"/>
    <w:rsid w:val="3F0D2B51"/>
    <w:rsid w:val="3F1C4CD1"/>
    <w:rsid w:val="3F2B4617"/>
    <w:rsid w:val="3F553ADD"/>
    <w:rsid w:val="3F565079"/>
    <w:rsid w:val="3F805E9F"/>
    <w:rsid w:val="3FE53132"/>
    <w:rsid w:val="40965C4E"/>
    <w:rsid w:val="410E718C"/>
    <w:rsid w:val="41155A54"/>
    <w:rsid w:val="419A0CED"/>
    <w:rsid w:val="41D2132A"/>
    <w:rsid w:val="41EE17B9"/>
    <w:rsid w:val="41FA5E85"/>
    <w:rsid w:val="428A4BFB"/>
    <w:rsid w:val="42B16CA5"/>
    <w:rsid w:val="42DF0DC2"/>
    <w:rsid w:val="42ED3154"/>
    <w:rsid w:val="4309375D"/>
    <w:rsid w:val="431C1221"/>
    <w:rsid w:val="43370718"/>
    <w:rsid w:val="434F3C5C"/>
    <w:rsid w:val="44E8249C"/>
    <w:rsid w:val="45B50B93"/>
    <w:rsid w:val="45B52AE9"/>
    <w:rsid w:val="46122C4E"/>
    <w:rsid w:val="461E6DF3"/>
    <w:rsid w:val="46E05398"/>
    <w:rsid w:val="47466D15"/>
    <w:rsid w:val="47E22611"/>
    <w:rsid w:val="47FC3610"/>
    <w:rsid w:val="48C412E4"/>
    <w:rsid w:val="48C52771"/>
    <w:rsid w:val="48D3029C"/>
    <w:rsid w:val="48EF15ED"/>
    <w:rsid w:val="496B5534"/>
    <w:rsid w:val="49DE5548"/>
    <w:rsid w:val="49EB253B"/>
    <w:rsid w:val="4A1168ED"/>
    <w:rsid w:val="4ADF5065"/>
    <w:rsid w:val="4B4C4A6E"/>
    <w:rsid w:val="4B5B2430"/>
    <w:rsid w:val="4B5C3509"/>
    <w:rsid w:val="4C0B6D51"/>
    <w:rsid w:val="4C883D5B"/>
    <w:rsid w:val="4E226030"/>
    <w:rsid w:val="4EFD438E"/>
    <w:rsid w:val="4F047901"/>
    <w:rsid w:val="4F850153"/>
    <w:rsid w:val="50DA6634"/>
    <w:rsid w:val="510C4885"/>
    <w:rsid w:val="514A2C7F"/>
    <w:rsid w:val="51C904BB"/>
    <w:rsid w:val="52567F7A"/>
    <w:rsid w:val="53381997"/>
    <w:rsid w:val="537B3DF2"/>
    <w:rsid w:val="54A50AC7"/>
    <w:rsid w:val="554A5BD2"/>
    <w:rsid w:val="5634122E"/>
    <w:rsid w:val="5690074F"/>
    <w:rsid w:val="56965D1B"/>
    <w:rsid w:val="57605E4C"/>
    <w:rsid w:val="57A61379"/>
    <w:rsid w:val="583E50C1"/>
    <w:rsid w:val="585D31CB"/>
    <w:rsid w:val="58936D4A"/>
    <w:rsid w:val="58EE07A6"/>
    <w:rsid w:val="5931612C"/>
    <w:rsid w:val="5A5C016E"/>
    <w:rsid w:val="5B0F6E54"/>
    <w:rsid w:val="5B1C1E7E"/>
    <w:rsid w:val="5B526AEB"/>
    <w:rsid w:val="5C9757AC"/>
    <w:rsid w:val="5CA478B6"/>
    <w:rsid w:val="5CC44E77"/>
    <w:rsid w:val="5CC54FDA"/>
    <w:rsid w:val="5D54747C"/>
    <w:rsid w:val="5D55210A"/>
    <w:rsid w:val="5D913F02"/>
    <w:rsid w:val="5DE014A7"/>
    <w:rsid w:val="5E041278"/>
    <w:rsid w:val="5E557CCE"/>
    <w:rsid w:val="5E9A6245"/>
    <w:rsid w:val="5ED7229B"/>
    <w:rsid w:val="607E32FD"/>
    <w:rsid w:val="61221544"/>
    <w:rsid w:val="614A2483"/>
    <w:rsid w:val="61A86256"/>
    <w:rsid w:val="62B875B1"/>
    <w:rsid w:val="62CB16FB"/>
    <w:rsid w:val="62EB05B2"/>
    <w:rsid w:val="633A04D8"/>
    <w:rsid w:val="63886FFF"/>
    <w:rsid w:val="63B1467B"/>
    <w:rsid w:val="63BD4E60"/>
    <w:rsid w:val="63D60BB3"/>
    <w:rsid w:val="63E47526"/>
    <w:rsid w:val="6429446D"/>
    <w:rsid w:val="645A3EE7"/>
    <w:rsid w:val="65B43576"/>
    <w:rsid w:val="65C15A1F"/>
    <w:rsid w:val="66454EC1"/>
    <w:rsid w:val="66783EE2"/>
    <w:rsid w:val="66A64EEF"/>
    <w:rsid w:val="66AA4452"/>
    <w:rsid w:val="67522697"/>
    <w:rsid w:val="67A607A4"/>
    <w:rsid w:val="67AE7AFF"/>
    <w:rsid w:val="67E25196"/>
    <w:rsid w:val="67F22A6B"/>
    <w:rsid w:val="680020E2"/>
    <w:rsid w:val="68067298"/>
    <w:rsid w:val="68892570"/>
    <w:rsid w:val="69B257E9"/>
    <w:rsid w:val="69E546FF"/>
    <w:rsid w:val="6A2208E0"/>
    <w:rsid w:val="6A570C85"/>
    <w:rsid w:val="6AA924D7"/>
    <w:rsid w:val="6AAA5F55"/>
    <w:rsid w:val="6AD47EC2"/>
    <w:rsid w:val="6B5A17AD"/>
    <w:rsid w:val="6B6D70E5"/>
    <w:rsid w:val="6B9E3C7B"/>
    <w:rsid w:val="6BC33E0F"/>
    <w:rsid w:val="6C99562C"/>
    <w:rsid w:val="6D0614BC"/>
    <w:rsid w:val="6D1F656F"/>
    <w:rsid w:val="6DC72BAB"/>
    <w:rsid w:val="6E035F3F"/>
    <w:rsid w:val="6F030EBC"/>
    <w:rsid w:val="6F42593C"/>
    <w:rsid w:val="6F4E2A8B"/>
    <w:rsid w:val="6FEF2B78"/>
    <w:rsid w:val="6FF37879"/>
    <w:rsid w:val="6FF440BA"/>
    <w:rsid w:val="70512DB2"/>
    <w:rsid w:val="709204E2"/>
    <w:rsid w:val="71465240"/>
    <w:rsid w:val="714C6B88"/>
    <w:rsid w:val="72412AEB"/>
    <w:rsid w:val="72640657"/>
    <w:rsid w:val="72662174"/>
    <w:rsid w:val="729C2283"/>
    <w:rsid w:val="72A22A1E"/>
    <w:rsid w:val="73234B7B"/>
    <w:rsid w:val="7413324A"/>
    <w:rsid w:val="74516EE2"/>
    <w:rsid w:val="745D5C72"/>
    <w:rsid w:val="748E6FC3"/>
    <w:rsid w:val="74B16002"/>
    <w:rsid w:val="74E113E9"/>
    <w:rsid w:val="74E63E9A"/>
    <w:rsid w:val="75044EF3"/>
    <w:rsid w:val="751A2454"/>
    <w:rsid w:val="7530215F"/>
    <w:rsid w:val="753E6906"/>
    <w:rsid w:val="75A13D09"/>
    <w:rsid w:val="75DA7E23"/>
    <w:rsid w:val="76B37EED"/>
    <w:rsid w:val="76DF0815"/>
    <w:rsid w:val="76F42FC7"/>
    <w:rsid w:val="77AF566A"/>
    <w:rsid w:val="77C82E43"/>
    <w:rsid w:val="77DA09D5"/>
    <w:rsid w:val="77F5035D"/>
    <w:rsid w:val="78A358FC"/>
    <w:rsid w:val="78AF2A76"/>
    <w:rsid w:val="79D23D9B"/>
    <w:rsid w:val="7A7470CE"/>
    <w:rsid w:val="7A804C71"/>
    <w:rsid w:val="7B0D522A"/>
    <w:rsid w:val="7B444BD7"/>
    <w:rsid w:val="7BED4CA3"/>
    <w:rsid w:val="7BF05B53"/>
    <w:rsid w:val="7C753AF4"/>
    <w:rsid w:val="7C8936BE"/>
    <w:rsid w:val="7C9267D4"/>
    <w:rsid w:val="7CCF0CE1"/>
    <w:rsid w:val="7CFE096A"/>
    <w:rsid w:val="7D07727B"/>
    <w:rsid w:val="7D5835DB"/>
    <w:rsid w:val="7D8F1BF3"/>
    <w:rsid w:val="7D915F3A"/>
    <w:rsid w:val="7DD63959"/>
    <w:rsid w:val="7EDE2F39"/>
    <w:rsid w:val="7F866A26"/>
    <w:rsid w:val="7FEA11DC"/>
    <w:rsid w:val="7FFA11D0"/>
    <w:rsid w:val="A2BDA513"/>
    <w:rsid w:val="E8DDC30C"/>
    <w:rsid w:val="EE7F5BE4"/>
    <w:rsid w:val="EFFCBC21"/>
    <w:rsid w:val="FFF57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spacing w:val="-6"/>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overflowPunct w:val="0"/>
      <w:autoSpaceDE w:val="0"/>
      <w:autoSpaceDN w:val="0"/>
      <w:adjustRightInd w:val="0"/>
      <w:textAlignment w:val="baseline"/>
    </w:pPr>
    <w:rPr>
      <w:sz w:val="20"/>
    </w:rPr>
  </w:style>
  <w:style w:type="paragraph" w:styleId="3">
    <w:name w:val="header"/>
    <w:basedOn w:val="1"/>
    <w:qFormat/>
    <w:uiPriority w:val="0"/>
    <w:pPr>
      <w:tabs>
        <w:tab w:val="center" w:pos="4153"/>
        <w:tab w:val="right" w:pos="8306"/>
      </w:tabs>
      <w:overflowPunct w:val="0"/>
      <w:autoSpaceDE w:val="0"/>
      <w:autoSpaceDN w:val="0"/>
      <w:adjustRightInd w:val="0"/>
      <w:textAlignment w:val="baseline"/>
    </w:pPr>
    <w:rPr>
      <w:sz w:val="20"/>
    </w:rPr>
  </w:style>
  <w:style w:type="character" w:styleId="6">
    <w:name w:val="page number"/>
    <w:basedOn w:val="5"/>
    <w:qFormat/>
    <w:uiPriority w:val="0"/>
  </w:style>
  <w:style w:type="character" w:styleId="7">
    <w:name w:val="FollowedHyperlink"/>
    <w:basedOn w:val="5"/>
    <w:qFormat/>
    <w:uiPriority w:val="0"/>
    <w:rPr>
      <w:color w:val="800080"/>
      <w:sz w:val="18"/>
      <w:szCs w:val="18"/>
      <w:u w:val="none"/>
    </w:rPr>
  </w:style>
  <w:style w:type="character" w:styleId="8">
    <w:name w:val="line number"/>
    <w:basedOn w:val="5"/>
    <w:qFormat/>
    <w:uiPriority w:val="0"/>
  </w:style>
  <w:style w:type="character" w:styleId="9">
    <w:name w:val="Hyperlink"/>
    <w:basedOn w:val="5"/>
    <w:qFormat/>
    <w:uiPriority w:val="0"/>
    <w:rPr>
      <w:color w:val="0000FF"/>
      <w:sz w:val="18"/>
      <w:szCs w:val="18"/>
      <w:u w:val="none"/>
    </w:rPr>
  </w:style>
  <w:style w:type="paragraph" w:customStyle="1" w:styleId="10">
    <w:name w:val="居中"/>
    <w:basedOn w:val="1"/>
    <w:qFormat/>
    <w:uiPriority w:val="0"/>
    <w:pPr>
      <w:numPr>
        <w:ilvl w:val="0"/>
        <w:numId w:val="1"/>
      </w:numPr>
    </w:pPr>
  </w:style>
  <w:style w:type="paragraph" w:customStyle="1" w:styleId="11">
    <w:name w:val="列出段落1"/>
    <w:basedOn w:val="1"/>
    <w:qFormat/>
    <w:uiPriority w:val="0"/>
    <w:pPr>
      <w:ind w:firstLine="420" w:firstLineChars="200"/>
    </w:pPr>
  </w:style>
  <w:style w:type="character" w:customStyle="1" w:styleId="12">
    <w:name w:val="red"/>
    <w:basedOn w:val="5"/>
    <w:qFormat/>
    <w:uiPriority w:val="0"/>
    <w:rPr>
      <w:color w:val="FF0000"/>
      <w:sz w:val="21"/>
      <w:szCs w:val="21"/>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y\Desktop\&#31354;&#30333;&#27491;&#25991;&#27169;&#26495;.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003285-6B24-4EB0-939B-93FB455CD3F6}">
  <ds:schemaRefs/>
</ds:datastoreItem>
</file>

<file path=docProps/app.xml><?xml version="1.0" encoding="utf-8"?>
<Properties xmlns="http://schemas.openxmlformats.org/officeDocument/2006/extended-properties" xmlns:vt="http://schemas.openxmlformats.org/officeDocument/2006/docPropsVTypes">
  <Template>空白正文模板.wpt</Template>
  <Company>Microsoft</Company>
  <Pages>12</Pages>
  <Words>794</Words>
  <Characters>4529</Characters>
  <Lines>37</Lines>
  <Paragraphs>10</Paragraphs>
  <TotalTime>247</TotalTime>
  <ScaleCrop>false</ScaleCrop>
  <LinksUpToDate>false</LinksUpToDate>
  <CharactersWithSpaces>5313</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2017-01-11T09:18:00Z</dcterms:created>
  <dc:creator>shy</dc:creator>
  <cp:lastModifiedBy>yanxu</cp:lastModifiedBy>
  <dcterms:modified xsi:type="dcterms:W3CDTF">2021-10-20T07:20:28Z</dcterms:modified>
  <dc:title>No:0000001</dc:title>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公文模板版本">
    <vt:lpwstr>20160721</vt:lpwstr>
  </property>
</Properties>
</file>